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0892DFCA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9A6075">
        <w:rPr>
          <w:rFonts w:ascii="Poppins" w:hAnsi="Poppins" w:cs="Poppins"/>
          <w:sz w:val="20"/>
          <w:szCs w:val="20"/>
        </w:rPr>
        <w:t>1</w:t>
      </w:r>
      <w:r w:rsidR="00C31FF5">
        <w:rPr>
          <w:rFonts w:ascii="Poppins" w:hAnsi="Poppins" w:cs="Poppins"/>
          <w:sz w:val="20"/>
          <w:szCs w:val="20"/>
        </w:rPr>
        <w:t>6</w:t>
      </w:r>
      <w:r w:rsidR="00BF2F46">
        <w:rPr>
          <w:rFonts w:ascii="Poppins" w:hAnsi="Poppins" w:cs="Poppins"/>
          <w:sz w:val="20"/>
          <w:szCs w:val="20"/>
        </w:rPr>
        <w:t>.</w:t>
      </w:r>
      <w:r w:rsidR="004015BD">
        <w:rPr>
          <w:rFonts w:ascii="Poppins" w:hAnsi="Poppins" w:cs="Poppins"/>
          <w:sz w:val="20"/>
          <w:szCs w:val="20"/>
        </w:rPr>
        <w:t>10</w:t>
      </w:r>
      <w:r w:rsidR="00BF2F46">
        <w:rPr>
          <w:rFonts w:ascii="Poppins" w:hAnsi="Poppins" w:cs="Poppins"/>
          <w:sz w:val="20"/>
          <w:szCs w:val="20"/>
        </w:rPr>
        <w:t>.202</w:t>
      </w:r>
      <w:r w:rsidR="006C07E3">
        <w:rPr>
          <w:rFonts w:ascii="Poppins" w:hAnsi="Poppins" w:cs="Poppins"/>
          <w:sz w:val="20"/>
          <w:szCs w:val="20"/>
        </w:rPr>
        <w:t>3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1907DD98" w14:textId="5943833A" w:rsidR="00CA33AD" w:rsidRPr="009475B0" w:rsidRDefault="00293F01" w:rsidP="00CA33AD">
      <w:pPr>
        <w:rPr>
          <w:rFonts w:ascii="Poppins" w:hAnsi="Poppins" w:cs="Poppins"/>
        </w:rPr>
      </w:pPr>
      <w:r w:rsidRPr="009475B0">
        <w:rPr>
          <w:rFonts w:ascii="Poppins" w:hAnsi="Poppins" w:cs="Poppins"/>
        </w:rPr>
        <w:t xml:space="preserve">Autor: </w:t>
      </w:r>
      <w:r w:rsidR="00BF2F46" w:rsidRPr="009475B0">
        <w:rPr>
          <w:rFonts w:ascii="Poppins" w:hAnsi="Poppins" w:cs="Poppins"/>
        </w:rPr>
        <w:t xml:space="preserve">Jarosław </w:t>
      </w:r>
      <w:proofErr w:type="spellStart"/>
      <w:r w:rsidR="00BF2F46" w:rsidRPr="009475B0">
        <w:rPr>
          <w:rFonts w:ascii="Poppins" w:hAnsi="Poppins" w:cs="Poppins"/>
        </w:rPr>
        <w:t>Jędrzyński</w:t>
      </w:r>
      <w:proofErr w:type="spellEnd"/>
      <w:r w:rsidR="009475B0" w:rsidRPr="009475B0">
        <w:rPr>
          <w:rFonts w:ascii="Poppins" w:hAnsi="Poppins" w:cs="Poppins"/>
        </w:rPr>
        <w:t>, ekspert portalu RynekPierwotny.pl</w:t>
      </w:r>
    </w:p>
    <w:p w14:paraId="2FCB2604" w14:textId="55D182AF" w:rsidR="00BC0222" w:rsidRPr="009475B0" w:rsidRDefault="00BC0222" w:rsidP="009475B0">
      <w:pPr>
        <w:spacing w:before="120" w:after="120" w:line="240" w:lineRule="auto"/>
        <w:jc w:val="both"/>
        <w:rPr>
          <w:rFonts w:ascii="Poppins" w:eastAsia="Calibri" w:hAnsi="Poppins" w:cs="Poppins"/>
          <w:b/>
          <w:sz w:val="40"/>
          <w:szCs w:val="40"/>
        </w:rPr>
      </w:pPr>
      <w:r w:rsidRPr="009475B0">
        <w:rPr>
          <w:rFonts w:ascii="Poppins" w:eastAsia="Calibri" w:hAnsi="Poppins" w:cs="Poppins"/>
          <w:b/>
          <w:sz w:val="40"/>
          <w:szCs w:val="40"/>
        </w:rPr>
        <w:t>Sprzedaż deweloperów giełdowych w II</w:t>
      </w:r>
      <w:r w:rsidR="004015BD" w:rsidRPr="009475B0">
        <w:rPr>
          <w:rFonts w:ascii="Poppins" w:eastAsia="Calibri" w:hAnsi="Poppins" w:cs="Poppins"/>
          <w:b/>
          <w:sz w:val="40"/>
          <w:szCs w:val="40"/>
        </w:rPr>
        <w:t>I</w:t>
      </w:r>
      <w:r w:rsidRPr="009475B0">
        <w:rPr>
          <w:rFonts w:ascii="Poppins" w:eastAsia="Calibri" w:hAnsi="Poppins" w:cs="Poppins"/>
          <w:b/>
          <w:sz w:val="40"/>
          <w:szCs w:val="40"/>
        </w:rPr>
        <w:t xml:space="preserve"> kw. na </w:t>
      </w:r>
      <w:r w:rsidR="008703A8" w:rsidRPr="009475B0">
        <w:rPr>
          <w:rFonts w:ascii="Poppins" w:eastAsia="Calibri" w:hAnsi="Poppins" w:cs="Poppins"/>
          <w:b/>
          <w:sz w:val="40"/>
          <w:szCs w:val="40"/>
        </w:rPr>
        <w:t xml:space="preserve">wysokiej </w:t>
      </w:r>
      <w:r w:rsidRPr="009475B0">
        <w:rPr>
          <w:rFonts w:ascii="Poppins" w:eastAsia="Calibri" w:hAnsi="Poppins" w:cs="Poppins"/>
          <w:b/>
          <w:sz w:val="40"/>
          <w:szCs w:val="40"/>
        </w:rPr>
        <w:t>fali</w:t>
      </w:r>
    </w:p>
    <w:p w14:paraId="01BE0841" w14:textId="735AD273" w:rsidR="00BC0222" w:rsidRPr="009475B0" w:rsidRDefault="00BC0222" w:rsidP="009475B0">
      <w:pPr>
        <w:spacing w:before="120" w:after="120" w:line="240" w:lineRule="auto"/>
        <w:jc w:val="both"/>
        <w:rPr>
          <w:rFonts w:ascii="Poppins" w:eastAsia="Calibri" w:hAnsi="Poppins" w:cs="Poppins"/>
          <w:b/>
          <w:sz w:val="21"/>
          <w:szCs w:val="21"/>
        </w:rPr>
      </w:pPr>
      <w:r w:rsidRPr="009475B0">
        <w:rPr>
          <w:rFonts w:ascii="Poppins" w:eastAsia="Calibri" w:hAnsi="Poppins" w:cs="Poppins"/>
          <w:b/>
          <w:sz w:val="21"/>
          <w:szCs w:val="21"/>
        </w:rPr>
        <w:t xml:space="preserve">W </w:t>
      </w:r>
      <w:r w:rsidR="0068747E" w:rsidRPr="009475B0">
        <w:rPr>
          <w:rFonts w:ascii="Poppins" w:eastAsia="Calibri" w:hAnsi="Poppins" w:cs="Poppins"/>
          <w:b/>
          <w:sz w:val="21"/>
          <w:szCs w:val="21"/>
        </w:rPr>
        <w:t>trzecim</w:t>
      </w:r>
      <w:r w:rsidRPr="009475B0">
        <w:rPr>
          <w:rFonts w:ascii="Poppins" w:eastAsia="Calibri" w:hAnsi="Poppins" w:cs="Poppins"/>
          <w:b/>
          <w:sz w:val="21"/>
          <w:szCs w:val="21"/>
        </w:rPr>
        <w:t xml:space="preserve"> kwartale br. kontraktacja deweloperów mieszkaniowych notowanych na rynku podstawowym i </w:t>
      </w:r>
      <w:proofErr w:type="spellStart"/>
      <w:r w:rsidRPr="009475B0">
        <w:rPr>
          <w:rFonts w:ascii="Poppins" w:eastAsia="Calibri" w:hAnsi="Poppins" w:cs="Poppins"/>
          <w:b/>
          <w:sz w:val="21"/>
          <w:szCs w:val="21"/>
        </w:rPr>
        <w:t>Catalyst</w:t>
      </w:r>
      <w:proofErr w:type="spellEnd"/>
      <w:r w:rsidRPr="009475B0">
        <w:rPr>
          <w:rFonts w:ascii="Poppins" w:eastAsia="Calibri" w:hAnsi="Poppins" w:cs="Poppins"/>
          <w:b/>
          <w:sz w:val="21"/>
          <w:szCs w:val="21"/>
        </w:rPr>
        <w:t xml:space="preserve"> warszawskiej GPW </w:t>
      </w:r>
      <w:r w:rsidR="00F422D1" w:rsidRPr="009475B0">
        <w:rPr>
          <w:rFonts w:ascii="Poppins" w:eastAsia="Calibri" w:hAnsi="Poppins" w:cs="Poppins"/>
          <w:b/>
          <w:sz w:val="21"/>
          <w:szCs w:val="21"/>
        </w:rPr>
        <w:t>wyraźnie przekroczył</w:t>
      </w:r>
      <w:r w:rsidR="0072483D" w:rsidRPr="009475B0">
        <w:rPr>
          <w:rFonts w:ascii="Poppins" w:eastAsia="Calibri" w:hAnsi="Poppins" w:cs="Poppins"/>
          <w:b/>
          <w:sz w:val="21"/>
          <w:szCs w:val="21"/>
        </w:rPr>
        <w:t>a</w:t>
      </w:r>
      <w:r w:rsidR="0068747E" w:rsidRPr="009475B0">
        <w:rPr>
          <w:rFonts w:ascii="Poppins" w:eastAsia="Calibri" w:hAnsi="Poppins" w:cs="Poppins"/>
          <w:b/>
          <w:sz w:val="21"/>
          <w:szCs w:val="21"/>
        </w:rPr>
        <w:t xml:space="preserve"> poziom </w:t>
      </w:r>
      <w:r w:rsidR="00951D9E" w:rsidRPr="009475B0">
        <w:rPr>
          <w:rFonts w:ascii="Poppins" w:eastAsia="Calibri" w:hAnsi="Poppins" w:cs="Poppins"/>
          <w:b/>
          <w:sz w:val="21"/>
          <w:szCs w:val="21"/>
        </w:rPr>
        <w:t>poprzedniego</w:t>
      </w:r>
      <w:r w:rsidR="00F422D1" w:rsidRPr="009475B0">
        <w:rPr>
          <w:rFonts w:ascii="Poppins" w:eastAsia="Calibri" w:hAnsi="Poppins" w:cs="Poppins"/>
          <w:b/>
          <w:sz w:val="21"/>
          <w:szCs w:val="21"/>
        </w:rPr>
        <w:t>, zdecydowanie</w:t>
      </w:r>
      <w:r w:rsidR="00CB30B6" w:rsidRPr="009475B0">
        <w:rPr>
          <w:rFonts w:ascii="Poppins" w:eastAsia="Calibri" w:hAnsi="Poppins" w:cs="Poppins"/>
          <w:b/>
          <w:sz w:val="21"/>
          <w:szCs w:val="21"/>
        </w:rPr>
        <w:t xml:space="preserve"> </w:t>
      </w:r>
      <w:r w:rsidR="00F422D1" w:rsidRPr="009475B0">
        <w:rPr>
          <w:rFonts w:ascii="Poppins" w:eastAsia="Calibri" w:hAnsi="Poppins" w:cs="Poppins"/>
          <w:b/>
          <w:sz w:val="21"/>
          <w:szCs w:val="21"/>
        </w:rPr>
        <w:t>udanego</w:t>
      </w:r>
      <w:r w:rsidR="00951D9E" w:rsidRPr="009475B0">
        <w:rPr>
          <w:rFonts w:ascii="Poppins" w:eastAsia="Calibri" w:hAnsi="Poppins" w:cs="Poppins"/>
          <w:b/>
          <w:sz w:val="21"/>
          <w:szCs w:val="21"/>
        </w:rPr>
        <w:t xml:space="preserve"> kwartału</w:t>
      </w:r>
      <w:r w:rsidR="009475B0">
        <w:rPr>
          <w:rFonts w:ascii="Poppins" w:eastAsia="Calibri" w:hAnsi="Poppins" w:cs="Poppins"/>
          <w:b/>
          <w:sz w:val="21"/>
          <w:szCs w:val="21"/>
        </w:rPr>
        <w:t>.</w:t>
      </w:r>
      <w:r w:rsidR="00951D9E" w:rsidRPr="009475B0">
        <w:rPr>
          <w:rFonts w:ascii="Poppins" w:eastAsia="Calibri" w:hAnsi="Poppins" w:cs="Poppins"/>
          <w:b/>
          <w:sz w:val="21"/>
          <w:szCs w:val="21"/>
        </w:rPr>
        <w:t xml:space="preserve"> </w:t>
      </w:r>
      <w:r w:rsidR="009475B0">
        <w:rPr>
          <w:rFonts w:ascii="Poppins" w:eastAsia="Calibri" w:hAnsi="Poppins" w:cs="Poppins"/>
          <w:b/>
          <w:sz w:val="21"/>
          <w:szCs w:val="21"/>
        </w:rPr>
        <w:t>T</w:t>
      </w:r>
      <w:r w:rsidR="00951D9E" w:rsidRPr="009475B0">
        <w:rPr>
          <w:rFonts w:ascii="Poppins" w:eastAsia="Calibri" w:hAnsi="Poppins" w:cs="Poppins"/>
          <w:b/>
          <w:sz w:val="21"/>
          <w:szCs w:val="21"/>
        </w:rPr>
        <w:t xml:space="preserve">o może sugerować </w:t>
      </w:r>
      <w:r w:rsidR="008703A8" w:rsidRPr="009475B0">
        <w:rPr>
          <w:rFonts w:ascii="Poppins" w:eastAsia="Calibri" w:hAnsi="Poppins" w:cs="Poppins"/>
          <w:b/>
          <w:sz w:val="21"/>
          <w:szCs w:val="21"/>
        </w:rPr>
        <w:t xml:space="preserve">definitywny </w:t>
      </w:r>
      <w:r w:rsidR="00951D9E" w:rsidRPr="009475B0">
        <w:rPr>
          <w:rFonts w:ascii="Poppins" w:eastAsia="Calibri" w:hAnsi="Poppins" w:cs="Poppins"/>
          <w:b/>
          <w:sz w:val="21"/>
          <w:szCs w:val="21"/>
        </w:rPr>
        <w:t>powrót koniunktury sprzedażowej do normy sprzed cyklu podwyżek stóp procentowych.</w:t>
      </w:r>
      <w:r w:rsidRPr="009475B0">
        <w:rPr>
          <w:rFonts w:ascii="Poppins" w:eastAsia="Calibri" w:hAnsi="Poppins" w:cs="Poppins"/>
          <w:b/>
          <w:sz w:val="21"/>
          <w:szCs w:val="21"/>
        </w:rPr>
        <w:t xml:space="preserve"> </w:t>
      </w:r>
      <w:r w:rsidR="009475B0">
        <w:rPr>
          <w:rFonts w:ascii="Poppins" w:eastAsia="Calibri" w:hAnsi="Poppins" w:cs="Poppins"/>
          <w:b/>
          <w:sz w:val="21"/>
          <w:szCs w:val="21"/>
        </w:rPr>
        <w:t xml:space="preserve">Jak tłumaczą </w:t>
      </w:r>
      <w:r w:rsidR="0032779A">
        <w:rPr>
          <w:rFonts w:ascii="Poppins" w:eastAsia="Calibri" w:hAnsi="Poppins" w:cs="Poppins"/>
          <w:b/>
          <w:sz w:val="21"/>
          <w:szCs w:val="21"/>
        </w:rPr>
        <w:t xml:space="preserve">jednak </w:t>
      </w:r>
      <w:r w:rsidR="009475B0">
        <w:rPr>
          <w:rFonts w:ascii="Poppins" w:eastAsia="Calibri" w:hAnsi="Poppins" w:cs="Poppins"/>
          <w:b/>
          <w:sz w:val="21"/>
          <w:szCs w:val="21"/>
        </w:rPr>
        <w:t xml:space="preserve">eksperci portalu RynekPierwotny.pl </w:t>
      </w:r>
      <w:r w:rsidRPr="009475B0">
        <w:rPr>
          <w:rFonts w:ascii="Poppins" w:eastAsia="Calibri" w:hAnsi="Poppins" w:cs="Poppins"/>
          <w:b/>
          <w:sz w:val="21"/>
          <w:szCs w:val="21"/>
        </w:rPr>
        <w:t xml:space="preserve">przesilenie w kierunku kolejnej </w:t>
      </w:r>
      <w:r w:rsidR="00C927BC" w:rsidRPr="009475B0">
        <w:rPr>
          <w:rFonts w:ascii="Poppins" w:eastAsia="Calibri" w:hAnsi="Poppins" w:cs="Poppins"/>
          <w:b/>
          <w:sz w:val="21"/>
          <w:szCs w:val="21"/>
        </w:rPr>
        <w:t>faz</w:t>
      </w:r>
      <w:r w:rsidR="00D65692" w:rsidRPr="009475B0">
        <w:rPr>
          <w:rFonts w:ascii="Poppins" w:eastAsia="Calibri" w:hAnsi="Poppins" w:cs="Poppins"/>
          <w:b/>
          <w:sz w:val="21"/>
          <w:szCs w:val="21"/>
        </w:rPr>
        <w:t>y</w:t>
      </w:r>
      <w:r w:rsidR="00C927BC" w:rsidRPr="009475B0">
        <w:rPr>
          <w:rFonts w:ascii="Poppins" w:eastAsia="Calibri" w:hAnsi="Poppins" w:cs="Poppins"/>
          <w:b/>
          <w:sz w:val="21"/>
          <w:szCs w:val="21"/>
        </w:rPr>
        <w:t xml:space="preserve"> ożywienia</w:t>
      </w:r>
      <w:r w:rsidR="00951D9E" w:rsidRPr="009475B0">
        <w:rPr>
          <w:rFonts w:ascii="Poppins" w:eastAsia="Calibri" w:hAnsi="Poppins" w:cs="Poppins"/>
          <w:b/>
          <w:sz w:val="21"/>
          <w:szCs w:val="21"/>
        </w:rPr>
        <w:t xml:space="preserve"> można by było uznać za dokonane, gdyby nie wątpliwości sygnalizowane przez samych deweloperów.</w:t>
      </w:r>
    </w:p>
    <w:p w14:paraId="2CD59AD2" w14:textId="30C0F658" w:rsidR="00A95C5B" w:rsidRPr="009475B0" w:rsidRDefault="00926856" w:rsidP="009475B0">
      <w:pPr>
        <w:spacing w:before="120" w:after="120" w:line="240" w:lineRule="auto"/>
        <w:jc w:val="both"/>
        <w:rPr>
          <w:rFonts w:ascii="Poppins" w:eastAsia="Calibri" w:hAnsi="Poppins" w:cs="Poppins"/>
          <w:b/>
          <w:sz w:val="21"/>
          <w:szCs w:val="21"/>
        </w:rPr>
      </w:pPr>
      <w:r w:rsidRPr="009475B0">
        <w:rPr>
          <w:rFonts w:ascii="Poppins" w:eastAsia="Calibri" w:hAnsi="Poppins" w:cs="Poppins"/>
          <w:b/>
          <w:sz w:val="21"/>
          <w:szCs w:val="21"/>
        </w:rPr>
        <w:t xml:space="preserve">Rekordowa sprzedaż deweloperów giełdowych </w:t>
      </w:r>
    </w:p>
    <w:p w14:paraId="60EC2113" w14:textId="0A1516B3" w:rsidR="006C731B" w:rsidRPr="009475B0" w:rsidRDefault="00261405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 xml:space="preserve">Miniony kwartał był już drugim z kolei </w:t>
      </w:r>
      <w:r w:rsidR="00FB3C2F" w:rsidRPr="009475B0">
        <w:rPr>
          <w:rFonts w:ascii="Poppins" w:eastAsia="Calibri" w:hAnsi="Poppins" w:cs="Poppins"/>
          <w:bCs/>
          <w:sz w:val="21"/>
          <w:szCs w:val="21"/>
        </w:rPr>
        <w:t xml:space="preserve">trzymiesięcznym 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okresem </w:t>
      </w:r>
      <w:r w:rsidR="00FB3C2F" w:rsidRPr="009475B0">
        <w:rPr>
          <w:rFonts w:ascii="Poppins" w:eastAsia="Calibri" w:hAnsi="Poppins" w:cs="Poppins"/>
          <w:bCs/>
          <w:sz w:val="21"/>
          <w:szCs w:val="21"/>
        </w:rPr>
        <w:t xml:space="preserve">wyraźnej poprawy koniunktury sprzedażowej mieszkaniowego rynku pierwotnego. W normalnych warunkach można by więc było uznać, </w:t>
      </w:r>
      <w:r w:rsidR="00926856" w:rsidRPr="009475B0">
        <w:rPr>
          <w:rFonts w:ascii="Poppins" w:eastAsia="Calibri" w:hAnsi="Poppins" w:cs="Poppins"/>
          <w:bCs/>
          <w:sz w:val="21"/>
          <w:szCs w:val="21"/>
        </w:rPr>
        <w:t>ż</w:t>
      </w:r>
      <w:r w:rsidR="00FB3C2F" w:rsidRPr="009475B0">
        <w:rPr>
          <w:rFonts w:ascii="Poppins" w:eastAsia="Calibri" w:hAnsi="Poppins" w:cs="Poppins"/>
          <w:bCs/>
          <w:sz w:val="21"/>
          <w:szCs w:val="21"/>
        </w:rPr>
        <w:t xml:space="preserve">e po </w:t>
      </w:r>
      <w:r w:rsidR="00C927BC" w:rsidRPr="009475B0">
        <w:rPr>
          <w:rFonts w:ascii="Poppins" w:eastAsia="Calibri" w:hAnsi="Poppins" w:cs="Poppins"/>
          <w:bCs/>
          <w:sz w:val="21"/>
          <w:szCs w:val="21"/>
        </w:rPr>
        <w:t xml:space="preserve">nieco ponad półtorarocznym okresie ostrego hamowania sprzedażowego boomu, 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stan </w:t>
      </w:r>
      <w:r w:rsidR="00D65692" w:rsidRPr="009475B0">
        <w:rPr>
          <w:rFonts w:ascii="Poppins" w:eastAsia="Calibri" w:hAnsi="Poppins" w:cs="Poppins"/>
          <w:bCs/>
          <w:sz w:val="21"/>
          <w:szCs w:val="21"/>
        </w:rPr>
        <w:t>koniunktur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y w minionym kwartale </w:t>
      </w:r>
      <w:r w:rsidR="006C731B" w:rsidRPr="009475B0">
        <w:rPr>
          <w:rFonts w:ascii="Poppins" w:eastAsia="Calibri" w:hAnsi="Poppins" w:cs="Poppins"/>
          <w:bCs/>
          <w:sz w:val="21"/>
          <w:szCs w:val="21"/>
        </w:rPr>
        <w:t>potwierdził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 wyraźne symptomy powrotu do normalności</w:t>
      </w:r>
      <w:r w:rsidR="007146FE" w:rsidRPr="009475B0">
        <w:rPr>
          <w:rFonts w:ascii="Poppins" w:eastAsia="Calibri" w:hAnsi="Poppins" w:cs="Poppins"/>
          <w:bCs/>
          <w:sz w:val="21"/>
          <w:szCs w:val="21"/>
        </w:rPr>
        <w:t xml:space="preserve"> sprzed cyklu windowani</w:t>
      </w:r>
      <w:r w:rsidR="009E5C8C">
        <w:rPr>
          <w:rFonts w:ascii="Poppins" w:eastAsia="Calibri" w:hAnsi="Poppins" w:cs="Poppins"/>
          <w:bCs/>
          <w:sz w:val="21"/>
          <w:szCs w:val="21"/>
        </w:rPr>
        <w:t>a</w:t>
      </w:r>
      <w:r w:rsidR="007146FE" w:rsidRPr="009475B0">
        <w:rPr>
          <w:rFonts w:ascii="Poppins" w:eastAsia="Calibri" w:hAnsi="Poppins" w:cs="Poppins"/>
          <w:bCs/>
          <w:sz w:val="21"/>
          <w:szCs w:val="21"/>
        </w:rPr>
        <w:t xml:space="preserve"> stóp procentowych.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</w:p>
    <w:p w14:paraId="026DF73C" w14:textId="34BC3533" w:rsidR="00261405" w:rsidRPr="009475B0" w:rsidRDefault="006C731B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>Tymczasem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Pr="009475B0">
        <w:rPr>
          <w:rFonts w:ascii="Poppins" w:eastAsia="Calibri" w:hAnsi="Poppins" w:cs="Poppins"/>
          <w:bCs/>
          <w:sz w:val="21"/>
          <w:szCs w:val="21"/>
        </w:rPr>
        <w:t>okoliczności rynkowe</w:t>
      </w:r>
      <w:r w:rsidR="00F422D1" w:rsidRPr="009475B0">
        <w:rPr>
          <w:rFonts w:ascii="Poppins" w:eastAsia="Calibri" w:hAnsi="Poppins" w:cs="Poppins"/>
          <w:bCs/>
          <w:sz w:val="21"/>
          <w:szCs w:val="21"/>
        </w:rPr>
        <w:t xml:space="preserve"> raczej nie skłaniają do hurraoptymizmu, s</w:t>
      </w:r>
      <w:r w:rsidR="00926856" w:rsidRPr="009475B0">
        <w:rPr>
          <w:rFonts w:ascii="Poppins" w:eastAsia="Calibri" w:hAnsi="Poppins" w:cs="Poppins"/>
          <w:bCs/>
          <w:sz w:val="21"/>
          <w:szCs w:val="21"/>
        </w:rPr>
        <w:t>ugerując</w:t>
      </w:r>
      <w:r w:rsidR="00F422D1" w:rsidRPr="009475B0">
        <w:rPr>
          <w:rFonts w:ascii="Poppins" w:eastAsia="Calibri" w:hAnsi="Poppins" w:cs="Poppins"/>
          <w:bCs/>
          <w:sz w:val="21"/>
          <w:szCs w:val="21"/>
        </w:rPr>
        <w:t xml:space="preserve"> raczej</w:t>
      </w:r>
      <w:r w:rsidR="00926856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Pr="009475B0">
        <w:rPr>
          <w:rFonts w:ascii="Poppins" w:eastAsia="Calibri" w:hAnsi="Poppins" w:cs="Poppins"/>
          <w:bCs/>
          <w:sz w:val="21"/>
          <w:szCs w:val="21"/>
        </w:rPr>
        <w:t>zachowani</w:t>
      </w:r>
      <w:r w:rsidR="00926856" w:rsidRPr="009475B0">
        <w:rPr>
          <w:rFonts w:ascii="Poppins" w:eastAsia="Calibri" w:hAnsi="Poppins" w:cs="Poppins"/>
          <w:bCs/>
          <w:sz w:val="21"/>
          <w:szCs w:val="21"/>
        </w:rPr>
        <w:t>e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="007146FE" w:rsidRPr="009475B0">
        <w:rPr>
          <w:rFonts w:ascii="Poppins" w:eastAsia="Calibri" w:hAnsi="Poppins" w:cs="Poppins"/>
          <w:bCs/>
          <w:sz w:val="21"/>
          <w:szCs w:val="21"/>
        </w:rPr>
        <w:t xml:space="preserve">pewnej 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ostrożności w kwestii 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>ogłasz</w:t>
      </w:r>
      <w:r w:rsidRPr="009475B0">
        <w:rPr>
          <w:rFonts w:ascii="Poppins" w:eastAsia="Calibri" w:hAnsi="Poppins" w:cs="Poppins"/>
          <w:bCs/>
          <w:sz w:val="21"/>
          <w:szCs w:val="21"/>
        </w:rPr>
        <w:t>ania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 fakt</w:t>
      </w:r>
      <w:r w:rsidRPr="009475B0">
        <w:rPr>
          <w:rFonts w:ascii="Poppins" w:eastAsia="Calibri" w:hAnsi="Poppins" w:cs="Poppins"/>
          <w:bCs/>
          <w:sz w:val="21"/>
          <w:szCs w:val="21"/>
        </w:rPr>
        <w:t>u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 xml:space="preserve"> rynkowego przesilenia,</w:t>
      </w:r>
      <w:r w:rsidR="00A95C5B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które wydają się potwierdzać </w:t>
      </w:r>
      <w:r w:rsidR="00C8273A" w:rsidRPr="009475B0">
        <w:rPr>
          <w:rFonts w:ascii="Poppins" w:eastAsia="Calibri" w:hAnsi="Poppins" w:cs="Poppins"/>
          <w:bCs/>
          <w:sz w:val="21"/>
          <w:szCs w:val="21"/>
        </w:rPr>
        <w:t>statystyki sprzedaży nowych mieszkań, nie tylko te dotyczące deweloperskich spółek giełdowych.</w:t>
      </w:r>
    </w:p>
    <w:p w14:paraId="7734CC9A" w14:textId="6C483739" w:rsidR="007146FE" w:rsidRPr="009475B0" w:rsidRDefault="007146FE" w:rsidP="009475B0">
      <w:pPr>
        <w:pStyle w:val="Textbody"/>
        <w:spacing w:before="120"/>
        <w:jc w:val="both"/>
        <w:rPr>
          <w:rFonts w:ascii="Poppins" w:eastAsia="Calibri" w:hAnsi="Poppins" w:cs="Poppins"/>
          <w:sz w:val="21"/>
          <w:szCs w:val="21"/>
        </w:rPr>
      </w:pPr>
      <w:r w:rsidRPr="009475B0">
        <w:rPr>
          <w:rFonts w:ascii="Poppins" w:eastAsia="Calibri" w:hAnsi="Poppins" w:cs="Poppins"/>
          <w:sz w:val="21"/>
          <w:szCs w:val="21"/>
        </w:rPr>
        <w:t xml:space="preserve">Notowana na rodzimej GPW stawka piętnastu deweloperów mieszkaniowych, w okresie od lipca do września br. znalazła nabywców na </w:t>
      </w:r>
      <w:r w:rsidR="00F422D1" w:rsidRPr="009475B0">
        <w:rPr>
          <w:rFonts w:ascii="Poppins" w:eastAsia="Calibri" w:hAnsi="Poppins" w:cs="Poppins"/>
          <w:sz w:val="21"/>
          <w:szCs w:val="21"/>
        </w:rPr>
        <w:t>ponad</w:t>
      </w:r>
      <w:r w:rsidRPr="009475B0">
        <w:rPr>
          <w:rFonts w:ascii="Poppins" w:eastAsia="Calibri" w:hAnsi="Poppins" w:cs="Poppins"/>
          <w:sz w:val="21"/>
          <w:szCs w:val="21"/>
        </w:rPr>
        <w:t xml:space="preserve"> 7 tys. lokali. To o </w:t>
      </w:r>
      <w:r w:rsidR="00F422D1" w:rsidRPr="009475B0">
        <w:rPr>
          <w:rFonts w:ascii="Poppins" w:eastAsia="Calibri" w:hAnsi="Poppins" w:cs="Poppins"/>
          <w:sz w:val="21"/>
          <w:szCs w:val="21"/>
        </w:rPr>
        <w:t>87</w:t>
      </w:r>
      <w:r w:rsidRPr="009475B0">
        <w:rPr>
          <w:rFonts w:ascii="Poppins" w:eastAsia="Calibri" w:hAnsi="Poppins" w:cs="Poppins"/>
          <w:sz w:val="21"/>
          <w:szCs w:val="21"/>
        </w:rPr>
        <w:t xml:space="preserve"> proc. więcej licząc rok do roku i </w:t>
      </w:r>
      <w:r w:rsidR="00F422D1" w:rsidRPr="009475B0">
        <w:rPr>
          <w:rFonts w:ascii="Poppins" w:eastAsia="Calibri" w:hAnsi="Poppins" w:cs="Poppins"/>
          <w:sz w:val="21"/>
          <w:szCs w:val="21"/>
        </w:rPr>
        <w:t xml:space="preserve">17 proc. </w:t>
      </w:r>
      <w:r w:rsidRPr="009475B0">
        <w:rPr>
          <w:rFonts w:ascii="Poppins" w:eastAsia="Calibri" w:hAnsi="Poppins" w:cs="Poppins"/>
          <w:sz w:val="21"/>
          <w:szCs w:val="21"/>
        </w:rPr>
        <w:t xml:space="preserve">w relacji kwartał do kwartału. Podobnie optymistycznie prezentuje się wynik ogółem od początku roku na poziomie </w:t>
      </w:r>
      <w:r w:rsidR="00CB30B6" w:rsidRPr="009475B0">
        <w:rPr>
          <w:rFonts w:ascii="Poppins" w:eastAsia="Calibri" w:hAnsi="Poppins" w:cs="Poppins"/>
          <w:sz w:val="21"/>
          <w:szCs w:val="21"/>
        </w:rPr>
        <w:t xml:space="preserve">niespełna </w:t>
      </w:r>
      <w:r w:rsidRPr="009475B0">
        <w:rPr>
          <w:rFonts w:ascii="Poppins" w:eastAsia="Calibri" w:hAnsi="Poppins" w:cs="Poppins"/>
          <w:sz w:val="21"/>
          <w:szCs w:val="21"/>
        </w:rPr>
        <w:t>1</w:t>
      </w:r>
      <w:r w:rsidR="00CB30B6" w:rsidRPr="009475B0">
        <w:rPr>
          <w:rFonts w:ascii="Poppins" w:eastAsia="Calibri" w:hAnsi="Poppins" w:cs="Poppins"/>
          <w:sz w:val="21"/>
          <w:szCs w:val="21"/>
        </w:rPr>
        <w:t>8</w:t>
      </w:r>
      <w:r w:rsidRPr="009475B0">
        <w:rPr>
          <w:rFonts w:ascii="Poppins" w:eastAsia="Calibri" w:hAnsi="Poppins" w:cs="Poppins"/>
          <w:sz w:val="21"/>
          <w:szCs w:val="21"/>
        </w:rPr>
        <w:t xml:space="preserve"> tys. lokali, oznaczający progres w stosunku do analogicznego okresu roku ubiegłego o </w:t>
      </w:r>
      <w:r w:rsidR="00F422D1" w:rsidRPr="009475B0">
        <w:rPr>
          <w:rFonts w:ascii="Poppins" w:eastAsia="Calibri" w:hAnsi="Poppins" w:cs="Poppins"/>
          <w:sz w:val="21"/>
          <w:szCs w:val="21"/>
        </w:rPr>
        <w:t>ponad jedną trzecią.</w:t>
      </w:r>
    </w:p>
    <w:p w14:paraId="3255C1FE" w14:textId="2E535325" w:rsidR="00A13D28" w:rsidRPr="009475B0" w:rsidRDefault="0072483D" w:rsidP="009475B0">
      <w:pPr>
        <w:pStyle w:val="Textbody"/>
        <w:spacing w:before="120"/>
        <w:jc w:val="both"/>
        <w:rPr>
          <w:rFonts w:ascii="Poppins" w:eastAsia="Calibri" w:hAnsi="Poppins" w:cs="Poppins"/>
          <w:sz w:val="21"/>
          <w:szCs w:val="21"/>
        </w:rPr>
      </w:pPr>
      <w:r w:rsidRPr="009475B0">
        <w:rPr>
          <w:rFonts w:ascii="Poppins" w:eastAsia="Calibri" w:hAnsi="Poppins" w:cs="Poppins"/>
          <w:sz w:val="21"/>
          <w:szCs w:val="21"/>
        </w:rPr>
        <w:t xml:space="preserve">Na ile </w:t>
      </w:r>
      <w:r w:rsidR="00CB30B6" w:rsidRPr="009475B0">
        <w:rPr>
          <w:rFonts w:ascii="Poppins" w:eastAsia="Calibri" w:hAnsi="Poppins" w:cs="Poppins"/>
          <w:sz w:val="21"/>
          <w:szCs w:val="21"/>
        </w:rPr>
        <w:t>udanym</w:t>
      </w:r>
      <w:r w:rsidR="00A13D28" w:rsidRPr="009475B0">
        <w:rPr>
          <w:rFonts w:ascii="Poppins" w:eastAsia="Calibri" w:hAnsi="Poppins" w:cs="Poppins"/>
          <w:sz w:val="21"/>
          <w:szCs w:val="21"/>
        </w:rPr>
        <w:t xml:space="preserve"> okresem sprzedażowym okazał się dla deweloperów giełdowych miniony kwartał</w:t>
      </w:r>
      <w:r w:rsidRPr="009475B0">
        <w:rPr>
          <w:rFonts w:ascii="Poppins" w:eastAsia="Calibri" w:hAnsi="Poppins" w:cs="Poppins"/>
          <w:sz w:val="21"/>
          <w:szCs w:val="21"/>
        </w:rPr>
        <w:t>,</w:t>
      </w:r>
      <w:r w:rsidR="00A13D28" w:rsidRPr="009475B0">
        <w:rPr>
          <w:rFonts w:ascii="Poppins" w:eastAsia="Calibri" w:hAnsi="Poppins" w:cs="Poppins"/>
          <w:sz w:val="21"/>
          <w:szCs w:val="21"/>
        </w:rPr>
        <w:t xml:space="preserve"> niech świadczy fakt, że w historii notowań ilość </w:t>
      </w:r>
      <w:r w:rsidR="00926856" w:rsidRPr="009475B0">
        <w:rPr>
          <w:rFonts w:ascii="Poppins" w:eastAsia="Calibri" w:hAnsi="Poppins" w:cs="Poppins"/>
          <w:sz w:val="21"/>
          <w:szCs w:val="21"/>
        </w:rPr>
        <w:t>przypadków</w:t>
      </w:r>
      <w:r w:rsidR="00A13D28" w:rsidRPr="009475B0">
        <w:rPr>
          <w:rFonts w:ascii="Poppins" w:eastAsia="Calibri" w:hAnsi="Poppins" w:cs="Poppins"/>
          <w:sz w:val="21"/>
          <w:szCs w:val="21"/>
        </w:rPr>
        <w:t xml:space="preserve">, w których ich </w:t>
      </w:r>
      <w:r w:rsidR="00CB30B6" w:rsidRPr="009475B0">
        <w:rPr>
          <w:rFonts w:ascii="Poppins" w:eastAsia="Calibri" w:hAnsi="Poppins" w:cs="Poppins"/>
          <w:sz w:val="21"/>
          <w:szCs w:val="21"/>
        </w:rPr>
        <w:t xml:space="preserve">kwartalna </w:t>
      </w:r>
      <w:r w:rsidR="00A13D28" w:rsidRPr="009475B0">
        <w:rPr>
          <w:rFonts w:ascii="Poppins" w:eastAsia="Calibri" w:hAnsi="Poppins" w:cs="Poppins"/>
          <w:sz w:val="21"/>
          <w:szCs w:val="21"/>
        </w:rPr>
        <w:t>kontraktacja</w:t>
      </w:r>
      <w:r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="00A13D28" w:rsidRPr="009475B0">
        <w:rPr>
          <w:rFonts w:ascii="Poppins" w:eastAsia="Calibri" w:hAnsi="Poppins" w:cs="Poppins"/>
          <w:sz w:val="21"/>
          <w:szCs w:val="21"/>
        </w:rPr>
        <w:t>przekroczyła poziom 7 tys. lokali</w:t>
      </w:r>
      <w:r w:rsidRPr="009475B0">
        <w:rPr>
          <w:rFonts w:ascii="Poppins" w:eastAsia="Calibri" w:hAnsi="Poppins" w:cs="Poppins"/>
          <w:sz w:val="21"/>
          <w:szCs w:val="21"/>
        </w:rPr>
        <w:t>,</w:t>
      </w:r>
      <w:r w:rsidR="00A13D28" w:rsidRPr="009475B0">
        <w:rPr>
          <w:rFonts w:ascii="Poppins" w:eastAsia="Calibri" w:hAnsi="Poppins" w:cs="Poppins"/>
          <w:sz w:val="21"/>
          <w:szCs w:val="21"/>
        </w:rPr>
        <w:t xml:space="preserve"> można dosłownie policzyć na palcach jednej ręki. Jeśli jednak uwzględnić fakt, </w:t>
      </w:r>
      <w:r w:rsidRPr="009475B0">
        <w:rPr>
          <w:rFonts w:ascii="Poppins" w:eastAsia="Calibri" w:hAnsi="Poppins" w:cs="Poppins"/>
          <w:sz w:val="21"/>
          <w:szCs w:val="21"/>
        </w:rPr>
        <w:t>ż</w:t>
      </w:r>
      <w:r w:rsidR="00A13D28" w:rsidRPr="009475B0">
        <w:rPr>
          <w:rFonts w:ascii="Poppins" w:eastAsia="Calibri" w:hAnsi="Poppins" w:cs="Poppins"/>
          <w:sz w:val="21"/>
          <w:szCs w:val="21"/>
        </w:rPr>
        <w:t>e w przeszłości tak</w:t>
      </w:r>
      <w:r w:rsidRPr="009475B0">
        <w:rPr>
          <w:rFonts w:ascii="Poppins" w:eastAsia="Calibri" w:hAnsi="Poppins" w:cs="Poppins"/>
          <w:sz w:val="21"/>
          <w:szCs w:val="21"/>
        </w:rPr>
        <w:t>iej miary</w:t>
      </w:r>
      <w:r w:rsidR="00A13D28" w:rsidRPr="009475B0">
        <w:rPr>
          <w:rFonts w:ascii="Poppins" w:eastAsia="Calibri" w:hAnsi="Poppins" w:cs="Poppins"/>
          <w:sz w:val="21"/>
          <w:szCs w:val="21"/>
        </w:rPr>
        <w:t xml:space="preserve"> sprzedaż realizowała większa o kilka jednostek liczba spółek, to najprawdopodobniej III kwartał br. należy uznać za historycznie rekordowy.</w:t>
      </w:r>
    </w:p>
    <w:p w14:paraId="5BE12D61" w14:textId="3C7DFBF0" w:rsidR="007146FE" w:rsidRPr="009475B0" w:rsidRDefault="007146FE" w:rsidP="009475B0">
      <w:pPr>
        <w:spacing w:before="120" w:after="120" w:line="240" w:lineRule="auto"/>
        <w:jc w:val="both"/>
        <w:rPr>
          <w:rFonts w:ascii="Poppins" w:eastAsia="Calibri" w:hAnsi="Poppins" w:cs="Poppins"/>
          <w:sz w:val="21"/>
          <w:szCs w:val="21"/>
        </w:rPr>
      </w:pPr>
      <w:r w:rsidRPr="009475B0">
        <w:rPr>
          <w:rFonts w:ascii="Poppins" w:eastAsia="Calibri" w:hAnsi="Poppins" w:cs="Poppins"/>
          <w:sz w:val="21"/>
          <w:szCs w:val="21"/>
        </w:rPr>
        <w:t xml:space="preserve">Co istotne, </w:t>
      </w:r>
      <w:r w:rsidR="0048352D">
        <w:rPr>
          <w:rFonts w:ascii="Poppins" w:eastAsia="Calibri" w:hAnsi="Poppins" w:cs="Poppins"/>
          <w:sz w:val="21"/>
          <w:szCs w:val="21"/>
        </w:rPr>
        <w:t xml:space="preserve">jak zauważają eksperci portalu RynekPierwotny.pl, </w:t>
      </w:r>
      <w:r w:rsidRPr="009475B0">
        <w:rPr>
          <w:rFonts w:ascii="Poppins" w:eastAsia="Calibri" w:hAnsi="Poppins" w:cs="Poppins"/>
          <w:sz w:val="21"/>
          <w:szCs w:val="21"/>
        </w:rPr>
        <w:t xml:space="preserve">nie tylko cała stawka prezentowanych budowniczych mieszkań znalazła się w minionym kwartale wyraźnie „nad kreską”, ale aż w ośmiu przypadkach progres rok do roku ma wymiar trzycyfrowy, </w:t>
      </w:r>
      <w:r w:rsidR="0072483D" w:rsidRPr="009475B0">
        <w:rPr>
          <w:rFonts w:ascii="Poppins" w:eastAsia="Calibri" w:hAnsi="Poppins" w:cs="Poppins"/>
          <w:sz w:val="21"/>
          <w:szCs w:val="21"/>
        </w:rPr>
        <w:t xml:space="preserve">a więc </w:t>
      </w:r>
      <w:r w:rsidRPr="009475B0">
        <w:rPr>
          <w:rFonts w:ascii="Poppins" w:eastAsia="Calibri" w:hAnsi="Poppins" w:cs="Poppins"/>
          <w:sz w:val="21"/>
          <w:szCs w:val="21"/>
        </w:rPr>
        <w:t xml:space="preserve">liczony w setkach procent. </w:t>
      </w:r>
    </w:p>
    <w:p w14:paraId="5826F01D" w14:textId="3238A3F9" w:rsidR="007146FE" w:rsidRPr="009475B0" w:rsidRDefault="007146FE" w:rsidP="009475B0">
      <w:pPr>
        <w:spacing w:before="120" w:after="120" w:line="240" w:lineRule="auto"/>
        <w:jc w:val="both"/>
        <w:rPr>
          <w:rFonts w:ascii="Poppins" w:eastAsia="Calibri" w:hAnsi="Poppins" w:cs="Poppins"/>
          <w:sz w:val="21"/>
          <w:szCs w:val="21"/>
        </w:rPr>
      </w:pPr>
      <w:r w:rsidRPr="009475B0">
        <w:rPr>
          <w:rFonts w:ascii="Poppins" w:eastAsia="Calibri" w:hAnsi="Poppins" w:cs="Poppins"/>
          <w:sz w:val="21"/>
          <w:szCs w:val="21"/>
        </w:rPr>
        <w:t xml:space="preserve">Tak rzadko </w:t>
      </w:r>
      <w:r w:rsidR="00C9173F" w:rsidRPr="009475B0">
        <w:rPr>
          <w:rFonts w:ascii="Poppins" w:eastAsia="Calibri" w:hAnsi="Poppins" w:cs="Poppins"/>
          <w:sz w:val="21"/>
          <w:szCs w:val="21"/>
        </w:rPr>
        <w:t>spotykana</w:t>
      </w:r>
      <w:r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="00CD1532" w:rsidRPr="009475B0">
        <w:rPr>
          <w:rFonts w:ascii="Poppins" w:eastAsia="Calibri" w:hAnsi="Poppins" w:cs="Poppins"/>
          <w:sz w:val="21"/>
          <w:szCs w:val="21"/>
        </w:rPr>
        <w:t xml:space="preserve">wolta </w:t>
      </w:r>
      <w:r w:rsidR="008703A8" w:rsidRPr="009475B0">
        <w:rPr>
          <w:rFonts w:ascii="Poppins" w:eastAsia="Calibri" w:hAnsi="Poppins" w:cs="Poppins"/>
          <w:sz w:val="21"/>
          <w:szCs w:val="21"/>
        </w:rPr>
        <w:t>statystyk</w:t>
      </w:r>
      <w:r w:rsidRPr="009475B0">
        <w:rPr>
          <w:rFonts w:ascii="Poppins" w:eastAsia="Calibri" w:hAnsi="Poppins" w:cs="Poppins"/>
          <w:sz w:val="21"/>
          <w:szCs w:val="21"/>
        </w:rPr>
        <w:t xml:space="preserve"> kontraktacji deweloperów </w:t>
      </w:r>
      <w:r w:rsidR="008703A8" w:rsidRPr="009475B0">
        <w:rPr>
          <w:rFonts w:ascii="Poppins" w:eastAsia="Calibri" w:hAnsi="Poppins" w:cs="Poppins"/>
          <w:sz w:val="21"/>
          <w:szCs w:val="21"/>
        </w:rPr>
        <w:t>nie</w:t>
      </w:r>
      <w:r w:rsidR="003C077F" w:rsidRPr="009475B0">
        <w:rPr>
          <w:rFonts w:ascii="Poppins" w:eastAsia="Calibri" w:hAnsi="Poppins" w:cs="Poppins"/>
          <w:sz w:val="21"/>
          <w:szCs w:val="21"/>
        </w:rPr>
        <w:t>zupełnie</w:t>
      </w:r>
      <w:r w:rsidR="008703A8"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="0090776A" w:rsidRPr="009475B0">
        <w:rPr>
          <w:rFonts w:ascii="Poppins" w:eastAsia="Calibri" w:hAnsi="Poppins" w:cs="Poppins"/>
          <w:sz w:val="21"/>
          <w:szCs w:val="21"/>
        </w:rPr>
        <w:t>komunikuje</w:t>
      </w:r>
      <w:r w:rsidR="008703A8" w:rsidRPr="009475B0">
        <w:rPr>
          <w:rFonts w:ascii="Poppins" w:eastAsia="Calibri" w:hAnsi="Poppins" w:cs="Poppins"/>
          <w:sz w:val="21"/>
          <w:szCs w:val="21"/>
        </w:rPr>
        <w:t xml:space="preserve"> jednak fak</w:t>
      </w:r>
      <w:r w:rsidR="0090776A" w:rsidRPr="009475B0">
        <w:rPr>
          <w:rFonts w:ascii="Poppins" w:eastAsia="Calibri" w:hAnsi="Poppins" w:cs="Poppins"/>
          <w:sz w:val="21"/>
          <w:szCs w:val="21"/>
        </w:rPr>
        <w:t>t</w:t>
      </w:r>
      <w:r w:rsidR="008703A8" w:rsidRPr="009475B0">
        <w:rPr>
          <w:rFonts w:ascii="Poppins" w:eastAsia="Calibri" w:hAnsi="Poppins" w:cs="Poppins"/>
          <w:sz w:val="21"/>
          <w:szCs w:val="21"/>
        </w:rPr>
        <w:t xml:space="preserve"> popytowej eksplozji</w:t>
      </w:r>
      <w:r w:rsidR="003C077F" w:rsidRPr="009475B0">
        <w:rPr>
          <w:rFonts w:ascii="Poppins" w:eastAsia="Calibri" w:hAnsi="Poppins" w:cs="Poppins"/>
          <w:sz w:val="21"/>
          <w:szCs w:val="21"/>
        </w:rPr>
        <w:t>, choć w przypadku wybranych firm był to rekordowy kwartał w historii.</w:t>
      </w:r>
      <w:r w:rsidR="008703A8"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="0090776A" w:rsidRPr="009475B0">
        <w:rPr>
          <w:rFonts w:ascii="Poppins" w:eastAsia="Calibri" w:hAnsi="Poppins" w:cs="Poppins"/>
          <w:sz w:val="21"/>
          <w:szCs w:val="21"/>
        </w:rPr>
        <w:t>Wynika natomiast z dwóch czynników: z jednej strony z</w:t>
      </w:r>
      <w:r w:rsidRPr="009475B0">
        <w:rPr>
          <w:rFonts w:ascii="Poppins" w:eastAsia="Calibri" w:hAnsi="Poppins" w:cs="Poppins"/>
          <w:sz w:val="21"/>
          <w:szCs w:val="21"/>
        </w:rPr>
        <w:t>e zdecydowanej poprawy koniunktury sprzedażowej, osiągającej</w:t>
      </w:r>
      <w:r w:rsidR="003C077F" w:rsidRPr="009475B0">
        <w:rPr>
          <w:rFonts w:ascii="Poppins" w:eastAsia="Calibri" w:hAnsi="Poppins" w:cs="Poppins"/>
          <w:sz w:val="21"/>
          <w:szCs w:val="21"/>
        </w:rPr>
        <w:t>, czy wręcz pokonującej</w:t>
      </w:r>
      <w:r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="00C9173F" w:rsidRPr="009475B0">
        <w:rPr>
          <w:rFonts w:ascii="Poppins" w:eastAsia="Calibri" w:hAnsi="Poppins" w:cs="Poppins"/>
          <w:sz w:val="21"/>
          <w:szCs w:val="21"/>
        </w:rPr>
        <w:t>parametry</w:t>
      </w:r>
      <w:r w:rsidRPr="009475B0">
        <w:rPr>
          <w:rFonts w:ascii="Poppins" w:eastAsia="Calibri" w:hAnsi="Poppins" w:cs="Poppins"/>
          <w:sz w:val="21"/>
          <w:szCs w:val="21"/>
        </w:rPr>
        <w:t xml:space="preserve"> z </w:t>
      </w:r>
      <w:r w:rsidR="00C9173F" w:rsidRPr="009475B0">
        <w:rPr>
          <w:rFonts w:ascii="Poppins" w:eastAsia="Calibri" w:hAnsi="Poppins" w:cs="Poppins"/>
          <w:sz w:val="21"/>
          <w:szCs w:val="21"/>
        </w:rPr>
        <w:t xml:space="preserve">okresu boomu zastopowanego cyklem podwyżek ceny rodzimego pieniądza, z drugiej zaś z rekordowo niskiej bazy. </w:t>
      </w:r>
      <w:r w:rsidR="0090776A" w:rsidRPr="009475B0">
        <w:rPr>
          <w:rFonts w:ascii="Poppins" w:eastAsia="Calibri" w:hAnsi="Poppins" w:cs="Poppins"/>
          <w:sz w:val="21"/>
          <w:szCs w:val="21"/>
        </w:rPr>
        <w:t xml:space="preserve">Ostatnie dwa kwartały ubiegłego </w:t>
      </w:r>
      <w:r w:rsidR="0090776A" w:rsidRPr="009475B0">
        <w:rPr>
          <w:rFonts w:ascii="Poppins" w:eastAsia="Calibri" w:hAnsi="Poppins" w:cs="Poppins"/>
          <w:sz w:val="21"/>
          <w:szCs w:val="21"/>
        </w:rPr>
        <w:lastRenderedPageBreak/>
        <w:t xml:space="preserve">roku to bowiem czas sprzedażowej zapaści pierwotnego rynku mieszkaniowego, cofającej wyniki kontraktacji deweloperów o osiem lat, </w:t>
      </w:r>
      <w:r w:rsidR="00926856" w:rsidRPr="009475B0">
        <w:rPr>
          <w:rFonts w:ascii="Poppins" w:eastAsia="Calibri" w:hAnsi="Poppins" w:cs="Poppins"/>
          <w:sz w:val="21"/>
          <w:szCs w:val="21"/>
        </w:rPr>
        <w:t xml:space="preserve">czyli </w:t>
      </w:r>
      <w:r w:rsidR="00CD1532" w:rsidRPr="009475B0">
        <w:rPr>
          <w:rFonts w:ascii="Poppins" w:eastAsia="Calibri" w:hAnsi="Poppins" w:cs="Poppins"/>
          <w:sz w:val="21"/>
          <w:szCs w:val="21"/>
        </w:rPr>
        <w:t xml:space="preserve">aż </w:t>
      </w:r>
      <w:r w:rsidR="0090776A" w:rsidRPr="009475B0">
        <w:rPr>
          <w:rFonts w:ascii="Poppins" w:eastAsia="Calibri" w:hAnsi="Poppins" w:cs="Poppins"/>
          <w:sz w:val="21"/>
          <w:szCs w:val="21"/>
        </w:rPr>
        <w:t>do momentu koniunkturalnego przes</w:t>
      </w:r>
      <w:r w:rsidR="00926856" w:rsidRPr="009475B0">
        <w:rPr>
          <w:rFonts w:ascii="Poppins" w:eastAsia="Calibri" w:hAnsi="Poppins" w:cs="Poppins"/>
          <w:sz w:val="21"/>
          <w:szCs w:val="21"/>
        </w:rPr>
        <w:t>ilenia</w:t>
      </w:r>
      <w:r w:rsidR="0090776A"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="00926856" w:rsidRPr="009475B0">
        <w:rPr>
          <w:rFonts w:ascii="Poppins" w:eastAsia="Calibri" w:hAnsi="Poppins" w:cs="Poppins"/>
          <w:sz w:val="21"/>
          <w:szCs w:val="21"/>
        </w:rPr>
        <w:t>sprzed dekady</w:t>
      </w:r>
      <w:r w:rsidR="0090776A" w:rsidRPr="009475B0">
        <w:rPr>
          <w:rFonts w:ascii="Poppins" w:eastAsia="Calibri" w:hAnsi="Poppins" w:cs="Poppins"/>
          <w:sz w:val="21"/>
          <w:szCs w:val="21"/>
        </w:rPr>
        <w:t>.</w:t>
      </w:r>
      <w:r w:rsidR="00C9173F" w:rsidRPr="009475B0">
        <w:rPr>
          <w:rFonts w:ascii="Poppins" w:eastAsia="Calibri" w:hAnsi="Poppins" w:cs="Poppins"/>
          <w:sz w:val="21"/>
          <w:szCs w:val="21"/>
        </w:rPr>
        <w:t xml:space="preserve"> </w:t>
      </w:r>
      <w:r w:rsidRPr="009475B0">
        <w:rPr>
          <w:rFonts w:ascii="Poppins" w:eastAsia="Calibri" w:hAnsi="Poppins" w:cs="Poppins"/>
          <w:sz w:val="21"/>
          <w:szCs w:val="21"/>
        </w:rPr>
        <w:t xml:space="preserve"> </w:t>
      </w:r>
    </w:p>
    <w:p w14:paraId="41CAD47C" w14:textId="0284DB4B" w:rsidR="00CD1532" w:rsidRPr="009475B0" w:rsidRDefault="00CD1532" w:rsidP="009475B0">
      <w:pPr>
        <w:spacing w:before="120" w:after="120" w:line="240" w:lineRule="auto"/>
        <w:jc w:val="both"/>
        <w:rPr>
          <w:rFonts w:ascii="Poppins" w:eastAsia="Calibri" w:hAnsi="Poppins" w:cs="Poppins"/>
          <w:b/>
          <w:bCs/>
          <w:sz w:val="21"/>
          <w:szCs w:val="21"/>
        </w:rPr>
      </w:pPr>
      <w:r w:rsidRPr="009475B0">
        <w:rPr>
          <w:rFonts w:ascii="Poppins" w:eastAsia="Calibri" w:hAnsi="Poppins" w:cs="Poppins"/>
          <w:b/>
          <w:bCs/>
          <w:sz w:val="21"/>
          <w:szCs w:val="21"/>
        </w:rPr>
        <w:t>Rynek na sztucznym dopalaczu</w:t>
      </w:r>
    </w:p>
    <w:p w14:paraId="0909BF3F" w14:textId="1EA84B0D" w:rsidR="003C077F" w:rsidRPr="009475B0" w:rsidRDefault="00CD1532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>Za poprawę koniunktury sprzedażowej pierwotnego segmentu mieszkaniówki odpowiada</w:t>
      </w:r>
      <w:r w:rsidR="003C077F" w:rsidRPr="009475B0">
        <w:rPr>
          <w:rFonts w:ascii="Poppins" w:eastAsia="Calibri" w:hAnsi="Poppins" w:cs="Poppins"/>
          <w:bCs/>
          <w:sz w:val="21"/>
          <w:szCs w:val="21"/>
        </w:rPr>
        <w:t>, praktycznie na zasadzie wyłączności, program dopłat do kredytów mieszkaniowych BK2%. Już sama perspektywa jego uruchomienia od połowy roku coraz bardziej elektryzowała rynek</w:t>
      </w:r>
      <w:r w:rsidR="0072483D" w:rsidRPr="009475B0">
        <w:rPr>
          <w:rFonts w:ascii="Poppins" w:eastAsia="Calibri" w:hAnsi="Poppins" w:cs="Poppins"/>
          <w:bCs/>
          <w:sz w:val="21"/>
          <w:szCs w:val="21"/>
        </w:rPr>
        <w:t xml:space="preserve">, </w:t>
      </w:r>
      <w:r w:rsidR="0051693A" w:rsidRPr="009475B0">
        <w:rPr>
          <w:rFonts w:ascii="Poppins" w:eastAsia="Calibri" w:hAnsi="Poppins" w:cs="Poppins"/>
          <w:bCs/>
          <w:sz w:val="21"/>
          <w:szCs w:val="21"/>
        </w:rPr>
        <w:t xml:space="preserve">przyspieszając decyzje zakupowe tysięcy </w:t>
      </w:r>
      <w:r w:rsidR="00865CE3" w:rsidRPr="009475B0">
        <w:rPr>
          <w:rFonts w:ascii="Poppins" w:eastAsia="Calibri" w:hAnsi="Poppins" w:cs="Poppins"/>
          <w:bCs/>
          <w:sz w:val="21"/>
          <w:szCs w:val="21"/>
        </w:rPr>
        <w:t xml:space="preserve">inwestorów indywidualnych, nabywających nowe lokale zarówno na coraz bardziej dostępny kredyt albo za gotówkę. </w:t>
      </w:r>
    </w:p>
    <w:p w14:paraId="764696A3" w14:textId="3503C9CF" w:rsidR="006C0BB8" w:rsidRDefault="00053B8F" w:rsidP="006C0BB8">
      <w:pPr>
        <w:spacing w:before="120" w:after="120" w:line="240" w:lineRule="auto"/>
        <w:jc w:val="center"/>
        <w:rPr>
          <w:rFonts w:ascii="Poppins" w:eastAsia="Calibri" w:hAnsi="Poppins" w:cs="Poppins"/>
          <w:bCs/>
          <w:sz w:val="21"/>
          <w:szCs w:val="21"/>
        </w:rPr>
      </w:pPr>
      <w:r>
        <w:rPr>
          <w:rFonts w:ascii="Poppins" w:eastAsia="Calibri" w:hAnsi="Poppins" w:cs="Poppins"/>
          <w:bCs/>
          <w:noProof/>
          <w:sz w:val="21"/>
          <w:szCs w:val="21"/>
        </w:rPr>
        <w:drawing>
          <wp:inline distT="0" distB="0" distL="0" distR="0" wp14:anchorId="5F7B25A7" wp14:editId="6ABB8AEB">
            <wp:extent cx="6309649" cy="6753225"/>
            <wp:effectExtent l="0" t="0" r="0" b="0"/>
            <wp:docPr id="388466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05" cy="67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7CA1" w14:textId="73ED6B9F" w:rsidR="00CD1532" w:rsidRDefault="00865CE3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lastRenderedPageBreak/>
        <w:t xml:space="preserve">Z kolei od początku misji programu dopłat do kredytów mieszkaniowych do dziś liczba wniosków o BK2% osiągnęła </w:t>
      </w:r>
      <w:r w:rsidR="009D6743" w:rsidRPr="009475B0">
        <w:rPr>
          <w:rFonts w:ascii="Poppins" w:eastAsia="Calibri" w:hAnsi="Poppins" w:cs="Poppins"/>
          <w:bCs/>
          <w:sz w:val="21"/>
          <w:szCs w:val="21"/>
        </w:rPr>
        <w:t>niebezpiecznie</w:t>
      </w:r>
      <w:r w:rsidR="00B94193" w:rsidRPr="009475B0">
        <w:rPr>
          <w:rFonts w:ascii="Poppins" w:eastAsia="Calibri" w:hAnsi="Poppins" w:cs="Poppins"/>
          <w:bCs/>
          <w:sz w:val="21"/>
          <w:szCs w:val="21"/>
        </w:rPr>
        <w:t xml:space="preserve"> wyśrubowany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 poziom </w:t>
      </w:r>
      <w:r w:rsidR="009D6743" w:rsidRPr="009475B0">
        <w:rPr>
          <w:rFonts w:ascii="Poppins" w:eastAsia="Calibri" w:hAnsi="Poppins" w:cs="Poppins"/>
          <w:bCs/>
          <w:sz w:val="21"/>
          <w:szCs w:val="21"/>
        </w:rPr>
        <w:t>6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5 tys. oraz </w:t>
      </w:r>
      <w:r w:rsidR="009D6743" w:rsidRPr="009475B0">
        <w:rPr>
          <w:rFonts w:ascii="Poppins" w:eastAsia="Calibri" w:hAnsi="Poppins" w:cs="Poppins"/>
          <w:bCs/>
          <w:sz w:val="21"/>
          <w:szCs w:val="21"/>
        </w:rPr>
        <w:t>20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 tys. </w:t>
      </w:r>
      <w:r w:rsidR="006A11C7" w:rsidRPr="009475B0">
        <w:rPr>
          <w:rFonts w:ascii="Poppins" w:eastAsia="Calibri" w:hAnsi="Poppins" w:cs="Poppins"/>
          <w:bCs/>
          <w:sz w:val="21"/>
          <w:szCs w:val="21"/>
        </w:rPr>
        <w:t xml:space="preserve">pozytywnych </w:t>
      </w:r>
      <w:r w:rsidRPr="009475B0">
        <w:rPr>
          <w:rFonts w:ascii="Poppins" w:eastAsia="Calibri" w:hAnsi="Poppins" w:cs="Poppins"/>
          <w:bCs/>
          <w:sz w:val="21"/>
          <w:szCs w:val="21"/>
        </w:rPr>
        <w:t>decyzji.</w:t>
      </w:r>
      <w:r w:rsidR="003B0EAF" w:rsidRPr="009475B0">
        <w:rPr>
          <w:rFonts w:ascii="Poppins" w:eastAsia="Calibri" w:hAnsi="Poppins" w:cs="Poppins"/>
          <w:bCs/>
          <w:sz w:val="21"/>
          <w:szCs w:val="21"/>
        </w:rPr>
        <w:t xml:space="preserve"> Z tej puli zapewne </w:t>
      </w:r>
      <w:r w:rsidR="006A11C7" w:rsidRPr="009475B0">
        <w:rPr>
          <w:rFonts w:ascii="Poppins" w:eastAsia="Calibri" w:hAnsi="Poppins" w:cs="Poppins"/>
          <w:bCs/>
          <w:sz w:val="21"/>
          <w:szCs w:val="21"/>
        </w:rPr>
        <w:t xml:space="preserve">istotna </w:t>
      </w:r>
      <w:r w:rsidR="003B0EAF" w:rsidRPr="009475B0">
        <w:rPr>
          <w:rFonts w:ascii="Poppins" w:eastAsia="Calibri" w:hAnsi="Poppins" w:cs="Poppins"/>
          <w:bCs/>
          <w:sz w:val="21"/>
          <w:szCs w:val="21"/>
        </w:rPr>
        <w:t>część wsparła statystyki sprzedażowe deweloperów mieszkaniowych, w tym prezentowan</w:t>
      </w:r>
      <w:r w:rsidR="00FC65B0" w:rsidRPr="009475B0">
        <w:rPr>
          <w:rFonts w:ascii="Poppins" w:eastAsia="Calibri" w:hAnsi="Poppins" w:cs="Poppins"/>
          <w:bCs/>
          <w:sz w:val="21"/>
          <w:szCs w:val="21"/>
        </w:rPr>
        <w:t>ą</w:t>
      </w:r>
      <w:r w:rsidR="003B0EAF" w:rsidRPr="009475B0">
        <w:rPr>
          <w:rFonts w:ascii="Poppins" w:eastAsia="Calibri" w:hAnsi="Poppins" w:cs="Poppins"/>
          <w:bCs/>
          <w:sz w:val="21"/>
          <w:szCs w:val="21"/>
        </w:rPr>
        <w:t xml:space="preserve"> stawkę spółek giełdowych. </w:t>
      </w:r>
    </w:p>
    <w:p w14:paraId="31784A02" w14:textId="77777777" w:rsidR="007944B5" w:rsidRPr="009475B0" w:rsidRDefault="007944B5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 xml:space="preserve">Sęk w tym, że BK2% to sztuczny stymulator popytu oraz mało przewidywalny instrument wspierający okresowo rynek mieszkaniowy, windujący ceny mieszkań zarówno nowych jak i z drugiej ręki, ale co gorsza mocną drenujący rynkową ofertę. Szczególnie niepokojąco prezentuje się jej spadek na rynku pierwotnym, będący pokłosiem ograniczania produkcji mieszkań przez deweloperów. </w:t>
      </w:r>
    </w:p>
    <w:p w14:paraId="6EBC0AF6" w14:textId="3E112E23" w:rsidR="007944B5" w:rsidRPr="009475B0" w:rsidRDefault="007944B5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 xml:space="preserve">Jak wynika z danych serwisu </w:t>
      </w:r>
      <w:hyperlink r:id="rId9" w:history="1">
        <w:r w:rsidRPr="005225B5">
          <w:rPr>
            <w:rStyle w:val="Hipercze"/>
            <w:rFonts w:ascii="Poppins" w:eastAsia="Calibri" w:hAnsi="Poppins" w:cs="Poppins"/>
            <w:bCs/>
            <w:sz w:val="21"/>
            <w:szCs w:val="21"/>
          </w:rPr>
          <w:t>BIG DATA Rynek</w:t>
        </w:r>
        <w:r w:rsidR="0048352D" w:rsidRPr="005225B5">
          <w:rPr>
            <w:rStyle w:val="Hipercze"/>
            <w:rFonts w:ascii="Poppins" w:eastAsia="Calibri" w:hAnsi="Poppins" w:cs="Poppins"/>
            <w:bCs/>
            <w:sz w:val="21"/>
            <w:szCs w:val="21"/>
          </w:rPr>
          <w:t>P</w:t>
        </w:r>
        <w:r w:rsidRPr="005225B5">
          <w:rPr>
            <w:rStyle w:val="Hipercze"/>
            <w:rFonts w:ascii="Poppins" w:eastAsia="Calibri" w:hAnsi="Poppins" w:cs="Poppins"/>
            <w:bCs/>
            <w:sz w:val="21"/>
            <w:szCs w:val="21"/>
          </w:rPr>
          <w:t>ierwotny.pl</w:t>
        </w:r>
      </w:hyperlink>
      <w:r w:rsidRPr="009475B0">
        <w:rPr>
          <w:rFonts w:ascii="Poppins" w:eastAsia="Calibri" w:hAnsi="Poppins" w:cs="Poppins"/>
          <w:bCs/>
          <w:sz w:val="21"/>
          <w:szCs w:val="21"/>
        </w:rPr>
        <w:t xml:space="preserve">, w  sierpniu na dziesięciu głównych rynkach kraju na trzy sprzedane lokale deweloperzy wprowadzali tylko jedną nową ofertę. We wrześniu sytuacja uległa niewielkiej poprawie, jednak wciąż </w:t>
      </w:r>
      <w:r w:rsidR="007A5999" w:rsidRPr="009475B0">
        <w:rPr>
          <w:rFonts w:ascii="Poppins" w:eastAsia="Calibri" w:hAnsi="Poppins" w:cs="Poppins"/>
          <w:bCs/>
          <w:sz w:val="21"/>
          <w:szCs w:val="21"/>
        </w:rPr>
        <w:t xml:space="preserve">zdecydowanie </w:t>
      </w:r>
      <w:r w:rsidR="007B3A8A" w:rsidRPr="009475B0">
        <w:rPr>
          <w:rFonts w:ascii="Poppins" w:eastAsia="Calibri" w:hAnsi="Poppins" w:cs="Poppins"/>
          <w:bCs/>
          <w:sz w:val="21"/>
          <w:szCs w:val="21"/>
        </w:rPr>
        <w:t>utykało</w:t>
      </w:r>
      <w:r w:rsidR="007A5999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Pr="009475B0">
        <w:rPr>
          <w:rFonts w:ascii="Poppins" w:eastAsia="Calibri" w:hAnsi="Poppins" w:cs="Poppins"/>
          <w:bCs/>
          <w:sz w:val="21"/>
          <w:szCs w:val="21"/>
        </w:rPr>
        <w:t>uzupełnianie oferty</w:t>
      </w:r>
      <w:r w:rsidR="007A5999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Pr="009475B0">
        <w:rPr>
          <w:rFonts w:ascii="Poppins" w:eastAsia="Calibri" w:hAnsi="Poppins" w:cs="Poppins"/>
          <w:bCs/>
          <w:sz w:val="21"/>
          <w:szCs w:val="21"/>
        </w:rPr>
        <w:t xml:space="preserve">na głównych rynkach kraju: w Warszawie, Krakowie i Wrocławiu. </w:t>
      </w:r>
    </w:p>
    <w:p w14:paraId="751DA96D" w14:textId="4E7437C6" w:rsidR="007B3A8A" w:rsidRPr="009475B0" w:rsidRDefault="007A5999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 xml:space="preserve">A to raczej </w:t>
      </w:r>
      <w:r w:rsidR="007B3A8A" w:rsidRPr="009475B0">
        <w:rPr>
          <w:rFonts w:ascii="Poppins" w:eastAsia="Calibri" w:hAnsi="Poppins" w:cs="Poppins"/>
          <w:bCs/>
          <w:sz w:val="21"/>
          <w:szCs w:val="21"/>
        </w:rPr>
        <w:t>nie przes</w:t>
      </w:r>
      <w:r w:rsidR="00B94193" w:rsidRPr="009475B0">
        <w:rPr>
          <w:rFonts w:ascii="Poppins" w:eastAsia="Calibri" w:hAnsi="Poppins" w:cs="Poppins"/>
          <w:bCs/>
          <w:sz w:val="21"/>
          <w:szCs w:val="21"/>
        </w:rPr>
        <w:t>ą</w:t>
      </w:r>
      <w:r w:rsidR="007B3A8A" w:rsidRPr="009475B0">
        <w:rPr>
          <w:rFonts w:ascii="Poppins" w:eastAsia="Calibri" w:hAnsi="Poppins" w:cs="Poppins"/>
          <w:bCs/>
          <w:sz w:val="21"/>
          <w:szCs w:val="21"/>
        </w:rPr>
        <w:t>dza o wejściu pierwotnego segmentu krajowej mieszkaniówki w kolejn</w:t>
      </w:r>
      <w:r w:rsidR="0048352D">
        <w:rPr>
          <w:rFonts w:ascii="Poppins" w:eastAsia="Calibri" w:hAnsi="Poppins" w:cs="Poppins"/>
          <w:bCs/>
          <w:sz w:val="21"/>
          <w:szCs w:val="21"/>
        </w:rPr>
        <w:t>ą</w:t>
      </w:r>
      <w:r w:rsidR="007B3A8A" w:rsidRPr="009475B0">
        <w:rPr>
          <w:rFonts w:ascii="Poppins" w:eastAsia="Calibri" w:hAnsi="Poppins" w:cs="Poppins"/>
          <w:bCs/>
          <w:sz w:val="21"/>
          <w:szCs w:val="21"/>
        </w:rPr>
        <w:t xml:space="preserve"> fazę sprzedażowej prosperity. Co więcej, stawia pod sporym znakiem zapytania przyszłe wyniki kontraktacji deweloperów, z tymi notowanymi na GPW na czele.</w:t>
      </w:r>
    </w:p>
    <w:p w14:paraId="26D5B060" w14:textId="43F856D0" w:rsidR="003E40E3" w:rsidRPr="009475B0" w:rsidRDefault="007B3A8A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/>
          <w:sz w:val="21"/>
          <w:szCs w:val="21"/>
        </w:rPr>
        <w:t>WIG-Nieruchomości na rozdrożu</w:t>
      </w:r>
    </w:p>
    <w:p w14:paraId="6E2001E5" w14:textId="2A11FCD1" w:rsidR="00847F16" w:rsidRPr="009475B0" w:rsidRDefault="007B3A8A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9475B0">
        <w:rPr>
          <w:rFonts w:ascii="Poppins" w:eastAsia="Calibri" w:hAnsi="Poppins" w:cs="Poppins"/>
          <w:bCs/>
          <w:sz w:val="21"/>
          <w:szCs w:val="21"/>
        </w:rPr>
        <w:t xml:space="preserve">Inwestycyjna wstrzemięźliwość deweloperów, sygnalizująca ich </w:t>
      </w:r>
      <w:r w:rsidR="00847F16" w:rsidRPr="009475B0">
        <w:rPr>
          <w:rFonts w:ascii="Poppins" w:eastAsia="Calibri" w:hAnsi="Poppins" w:cs="Poppins"/>
          <w:bCs/>
          <w:sz w:val="21"/>
          <w:szCs w:val="21"/>
        </w:rPr>
        <w:t xml:space="preserve">dość </w:t>
      </w:r>
      <w:r w:rsidR="001B79AB" w:rsidRPr="009475B0">
        <w:rPr>
          <w:rFonts w:ascii="Poppins" w:eastAsia="Calibri" w:hAnsi="Poppins" w:cs="Poppins"/>
          <w:bCs/>
          <w:sz w:val="21"/>
          <w:szCs w:val="21"/>
        </w:rPr>
        <w:t>ograniczony rynkowy entuzjazm, bardzo szybko znalazła swoje przełożenie na notowania giełdowych tuzów branży deweloperskiej. Po chwilowej euforii z dnia pierwszej obniżki stóp procentowych pod koniec</w:t>
      </w:r>
      <w:r w:rsidR="00B94193" w:rsidRPr="009475B0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="001B79AB" w:rsidRPr="009475B0">
        <w:rPr>
          <w:rFonts w:ascii="Poppins" w:eastAsia="Calibri" w:hAnsi="Poppins" w:cs="Poppins"/>
          <w:bCs/>
          <w:sz w:val="21"/>
          <w:szCs w:val="21"/>
        </w:rPr>
        <w:t xml:space="preserve">września, indeks WIG-Nieruchomości znalazł się w odwrocie, </w:t>
      </w:r>
      <w:r w:rsidR="00847F16" w:rsidRPr="009475B0">
        <w:rPr>
          <w:rFonts w:ascii="Poppins" w:eastAsia="Calibri" w:hAnsi="Poppins" w:cs="Poppins"/>
          <w:bCs/>
          <w:sz w:val="21"/>
          <w:szCs w:val="21"/>
        </w:rPr>
        <w:t xml:space="preserve">lokując się poniżej wzrostowej rocznej linii trendu, będącej tymczasem ostatnim impulsem trwającej </w:t>
      </w:r>
      <w:r w:rsidR="007B3E95" w:rsidRPr="009475B0">
        <w:rPr>
          <w:rFonts w:ascii="Poppins" w:eastAsia="Calibri" w:hAnsi="Poppins" w:cs="Poppins"/>
          <w:bCs/>
          <w:sz w:val="21"/>
          <w:szCs w:val="21"/>
        </w:rPr>
        <w:t>od</w:t>
      </w:r>
      <w:r w:rsidR="00847F16" w:rsidRPr="009475B0">
        <w:rPr>
          <w:rFonts w:ascii="Poppins" w:eastAsia="Calibri" w:hAnsi="Poppins" w:cs="Poppins"/>
          <w:bCs/>
          <w:sz w:val="21"/>
          <w:szCs w:val="21"/>
        </w:rPr>
        <w:t xml:space="preserve"> 11 lat nieruchomościowej hossy.</w:t>
      </w:r>
      <w:r w:rsidR="00630C77" w:rsidRPr="009475B0">
        <w:rPr>
          <w:rFonts w:ascii="Poppins" w:eastAsia="Calibri" w:hAnsi="Poppins" w:cs="Poppins"/>
          <w:bCs/>
          <w:sz w:val="21"/>
          <w:szCs w:val="21"/>
        </w:rPr>
        <w:t xml:space="preserve"> Już najbliższe tygodnie zadecydują najprawdopodobniej o dalszym kierunku notowań w segmencie spółek deweloperskich, kontynuacji długoterminowych wzrostów lub</w:t>
      </w:r>
      <w:r w:rsidR="00B94193" w:rsidRPr="009475B0">
        <w:rPr>
          <w:rFonts w:ascii="Poppins" w:eastAsia="Calibri" w:hAnsi="Poppins" w:cs="Poppins"/>
          <w:bCs/>
          <w:sz w:val="21"/>
          <w:szCs w:val="21"/>
        </w:rPr>
        <w:t xml:space="preserve"> o</w:t>
      </w:r>
      <w:r w:rsidR="00630C77" w:rsidRPr="009475B0">
        <w:rPr>
          <w:rFonts w:ascii="Poppins" w:eastAsia="Calibri" w:hAnsi="Poppins" w:cs="Poppins"/>
          <w:bCs/>
          <w:sz w:val="21"/>
          <w:szCs w:val="21"/>
        </w:rPr>
        <w:t xml:space="preserve"> równie prawdopodobnej dłużej ich korek</w:t>
      </w:r>
      <w:r w:rsidR="00B94193" w:rsidRPr="009475B0">
        <w:rPr>
          <w:rFonts w:ascii="Poppins" w:eastAsia="Calibri" w:hAnsi="Poppins" w:cs="Poppins"/>
          <w:bCs/>
          <w:sz w:val="21"/>
          <w:szCs w:val="21"/>
        </w:rPr>
        <w:t>cie</w:t>
      </w:r>
      <w:r w:rsidR="00630C77" w:rsidRPr="009475B0">
        <w:rPr>
          <w:rFonts w:ascii="Poppins" w:eastAsia="Calibri" w:hAnsi="Poppins" w:cs="Poppins"/>
          <w:bCs/>
          <w:sz w:val="21"/>
          <w:szCs w:val="21"/>
        </w:rPr>
        <w:t>.</w:t>
      </w:r>
      <w:r w:rsidR="00847F16" w:rsidRPr="009475B0">
        <w:rPr>
          <w:rFonts w:ascii="Poppins" w:eastAsia="Calibri" w:hAnsi="Poppins" w:cs="Poppins"/>
          <w:bCs/>
          <w:sz w:val="21"/>
          <w:szCs w:val="21"/>
        </w:rPr>
        <w:t xml:space="preserve">    </w:t>
      </w:r>
    </w:p>
    <w:p w14:paraId="56FC9833" w14:textId="77777777" w:rsidR="00847F16" w:rsidRPr="009475B0" w:rsidRDefault="00847F16" w:rsidP="009475B0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</w:p>
    <w:sectPr w:rsidR="00847F16" w:rsidRPr="009475B0" w:rsidSect="00A547BE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5D02" w14:textId="77777777" w:rsidR="00570EB4" w:rsidRDefault="00570EB4" w:rsidP="00E533BD">
      <w:pPr>
        <w:spacing w:after="0" w:line="240" w:lineRule="auto"/>
      </w:pPr>
      <w:r>
        <w:separator/>
      </w:r>
    </w:p>
  </w:endnote>
  <w:endnote w:type="continuationSeparator" w:id="0">
    <w:p w14:paraId="71DE3E11" w14:textId="77777777" w:rsidR="00570EB4" w:rsidRDefault="00570EB4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CA8C" w14:textId="77777777" w:rsidR="00570EB4" w:rsidRDefault="00570EB4" w:rsidP="00E533BD">
      <w:pPr>
        <w:spacing w:after="0" w:line="240" w:lineRule="auto"/>
      </w:pPr>
      <w:r>
        <w:separator/>
      </w:r>
    </w:p>
  </w:footnote>
  <w:footnote w:type="continuationSeparator" w:id="0">
    <w:p w14:paraId="68B55DA7" w14:textId="77777777" w:rsidR="00570EB4" w:rsidRDefault="00570EB4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829"/>
    <w:multiLevelType w:val="hybridMultilevel"/>
    <w:tmpl w:val="6D001BA2"/>
    <w:lvl w:ilvl="0" w:tplc="BB82E25C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68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15274"/>
    <w:rsid w:val="00016290"/>
    <w:rsid w:val="00044139"/>
    <w:rsid w:val="00053B8F"/>
    <w:rsid w:val="00057F54"/>
    <w:rsid w:val="00077789"/>
    <w:rsid w:val="000C2C30"/>
    <w:rsid w:val="000F0B92"/>
    <w:rsid w:val="001003CF"/>
    <w:rsid w:val="00106C6C"/>
    <w:rsid w:val="0010749B"/>
    <w:rsid w:val="001332B1"/>
    <w:rsid w:val="00160B41"/>
    <w:rsid w:val="00171955"/>
    <w:rsid w:val="00176DE5"/>
    <w:rsid w:val="00182A25"/>
    <w:rsid w:val="0018306C"/>
    <w:rsid w:val="00193531"/>
    <w:rsid w:val="00194693"/>
    <w:rsid w:val="001B79AB"/>
    <w:rsid w:val="001D41FD"/>
    <w:rsid w:val="00233022"/>
    <w:rsid w:val="0025422D"/>
    <w:rsid w:val="00261405"/>
    <w:rsid w:val="0027120F"/>
    <w:rsid w:val="00293F01"/>
    <w:rsid w:val="002C3A0A"/>
    <w:rsid w:val="002C75F1"/>
    <w:rsid w:val="002D6C21"/>
    <w:rsid w:val="002E6753"/>
    <w:rsid w:val="0030376C"/>
    <w:rsid w:val="0032779A"/>
    <w:rsid w:val="00331728"/>
    <w:rsid w:val="00344266"/>
    <w:rsid w:val="00367682"/>
    <w:rsid w:val="003B0EAF"/>
    <w:rsid w:val="003C077F"/>
    <w:rsid w:val="003C74F0"/>
    <w:rsid w:val="003D28BE"/>
    <w:rsid w:val="003E40E3"/>
    <w:rsid w:val="003F4D95"/>
    <w:rsid w:val="004015BD"/>
    <w:rsid w:val="004069F6"/>
    <w:rsid w:val="00414F41"/>
    <w:rsid w:val="00442EBD"/>
    <w:rsid w:val="00445E56"/>
    <w:rsid w:val="0045420A"/>
    <w:rsid w:val="0048352D"/>
    <w:rsid w:val="004B34BB"/>
    <w:rsid w:val="004B5150"/>
    <w:rsid w:val="004C4395"/>
    <w:rsid w:val="00504683"/>
    <w:rsid w:val="0050612C"/>
    <w:rsid w:val="00507867"/>
    <w:rsid w:val="00507B27"/>
    <w:rsid w:val="0051693A"/>
    <w:rsid w:val="005225B5"/>
    <w:rsid w:val="005329D7"/>
    <w:rsid w:val="005428ED"/>
    <w:rsid w:val="00565B3F"/>
    <w:rsid w:val="00570EB4"/>
    <w:rsid w:val="00571D71"/>
    <w:rsid w:val="005756AC"/>
    <w:rsid w:val="00595106"/>
    <w:rsid w:val="005A689E"/>
    <w:rsid w:val="005B6EC7"/>
    <w:rsid w:val="005D03E9"/>
    <w:rsid w:val="005D60E5"/>
    <w:rsid w:val="005E154B"/>
    <w:rsid w:val="006170B5"/>
    <w:rsid w:val="00630C77"/>
    <w:rsid w:val="00655E69"/>
    <w:rsid w:val="0066231E"/>
    <w:rsid w:val="0068747E"/>
    <w:rsid w:val="00693D0A"/>
    <w:rsid w:val="006A11C7"/>
    <w:rsid w:val="006C07E3"/>
    <w:rsid w:val="006C0BB8"/>
    <w:rsid w:val="006C731B"/>
    <w:rsid w:val="006D1A53"/>
    <w:rsid w:val="006E144D"/>
    <w:rsid w:val="006E194D"/>
    <w:rsid w:val="006F0A66"/>
    <w:rsid w:val="006F1831"/>
    <w:rsid w:val="007146FE"/>
    <w:rsid w:val="0072483D"/>
    <w:rsid w:val="00782C3E"/>
    <w:rsid w:val="00793B7D"/>
    <w:rsid w:val="007944B5"/>
    <w:rsid w:val="007A5999"/>
    <w:rsid w:val="007B3A8A"/>
    <w:rsid w:val="007B3E95"/>
    <w:rsid w:val="007E3768"/>
    <w:rsid w:val="00801EEA"/>
    <w:rsid w:val="00825AD9"/>
    <w:rsid w:val="00836B91"/>
    <w:rsid w:val="00841D7B"/>
    <w:rsid w:val="00847F16"/>
    <w:rsid w:val="00865CE3"/>
    <w:rsid w:val="008703A8"/>
    <w:rsid w:val="00884A9A"/>
    <w:rsid w:val="008A0725"/>
    <w:rsid w:val="008A109B"/>
    <w:rsid w:val="008A7207"/>
    <w:rsid w:val="008B0D3B"/>
    <w:rsid w:val="008C4684"/>
    <w:rsid w:val="008C55BD"/>
    <w:rsid w:val="008E239F"/>
    <w:rsid w:val="008F7B1C"/>
    <w:rsid w:val="0090776A"/>
    <w:rsid w:val="0091278B"/>
    <w:rsid w:val="009232E8"/>
    <w:rsid w:val="00926856"/>
    <w:rsid w:val="009475B0"/>
    <w:rsid w:val="00951D9E"/>
    <w:rsid w:val="00967D21"/>
    <w:rsid w:val="00990AA6"/>
    <w:rsid w:val="009A324B"/>
    <w:rsid w:val="009A3D85"/>
    <w:rsid w:val="009A4AA4"/>
    <w:rsid w:val="009A6075"/>
    <w:rsid w:val="009C2310"/>
    <w:rsid w:val="009C234B"/>
    <w:rsid w:val="009C36E3"/>
    <w:rsid w:val="009D6743"/>
    <w:rsid w:val="009E5C8C"/>
    <w:rsid w:val="00A0126E"/>
    <w:rsid w:val="00A13D28"/>
    <w:rsid w:val="00A17D1B"/>
    <w:rsid w:val="00A24093"/>
    <w:rsid w:val="00A547BE"/>
    <w:rsid w:val="00A64C0A"/>
    <w:rsid w:val="00A67EB7"/>
    <w:rsid w:val="00A90FB0"/>
    <w:rsid w:val="00A95C5B"/>
    <w:rsid w:val="00AD4462"/>
    <w:rsid w:val="00B141B2"/>
    <w:rsid w:val="00B17444"/>
    <w:rsid w:val="00B33F85"/>
    <w:rsid w:val="00B42848"/>
    <w:rsid w:val="00B430F1"/>
    <w:rsid w:val="00B5353F"/>
    <w:rsid w:val="00B6641D"/>
    <w:rsid w:val="00B675F4"/>
    <w:rsid w:val="00B907A3"/>
    <w:rsid w:val="00B90C5F"/>
    <w:rsid w:val="00B94193"/>
    <w:rsid w:val="00BA48E5"/>
    <w:rsid w:val="00BA4AE2"/>
    <w:rsid w:val="00BC0222"/>
    <w:rsid w:val="00BD00B0"/>
    <w:rsid w:val="00BE548A"/>
    <w:rsid w:val="00BF285E"/>
    <w:rsid w:val="00BF2F46"/>
    <w:rsid w:val="00C05921"/>
    <w:rsid w:val="00C12248"/>
    <w:rsid w:val="00C31FF5"/>
    <w:rsid w:val="00C35B7E"/>
    <w:rsid w:val="00C50A12"/>
    <w:rsid w:val="00C8273A"/>
    <w:rsid w:val="00C9173F"/>
    <w:rsid w:val="00C927BC"/>
    <w:rsid w:val="00CA33AD"/>
    <w:rsid w:val="00CA3969"/>
    <w:rsid w:val="00CB30B6"/>
    <w:rsid w:val="00CB7C00"/>
    <w:rsid w:val="00CC5797"/>
    <w:rsid w:val="00CD1532"/>
    <w:rsid w:val="00CD15B5"/>
    <w:rsid w:val="00CF036B"/>
    <w:rsid w:val="00D05213"/>
    <w:rsid w:val="00D061AE"/>
    <w:rsid w:val="00D1044B"/>
    <w:rsid w:val="00D2022F"/>
    <w:rsid w:val="00D3042F"/>
    <w:rsid w:val="00D320B2"/>
    <w:rsid w:val="00D455CB"/>
    <w:rsid w:val="00D56A8C"/>
    <w:rsid w:val="00D61549"/>
    <w:rsid w:val="00D65692"/>
    <w:rsid w:val="00D76754"/>
    <w:rsid w:val="00DA0E39"/>
    <w:rsid w:val="00DA494D"/>
    <w:rsid w:val="00DA72F4"/>
    <w:rsid w:val="00DA7D8F"/>
    <w:rsid w:val="00DB60A0"/>
    <w:rsid w:val="00DC1870"/>
    <w:rsid w:val="00DD6A44"/>
    <w:rsid w:val="00E25AAC"/>
    <w:rsid w:val="00E32A58"/>
    <w:rsid w:val="00E32F03"/>
    <w:rsid w:val="00E3719E"/>
    <w:rsid w:val="00E440F2"/>
    <w:rsid w:val="00E533BD"/>
    <w:rsid w:val="00E73303"/>
    <w:rsid w:val="00E84E26"/>
    <w:rsid w:val="00EA18AB"/>
    <w:rsid w:val="00EA269B"/>
    <w:rsid w:val="00EC10B9"/>
    <w:rsid w:val="00ED61B2"/>
    <w:rsid w:val="00ED6CE9"/>
    <w:rsid w:val="00F06678"/>
    <w:rsid w:val="00F21411"/>
    <w:rsid w:val="00F2311C"/>
    <w:rsid w:val="00F27BE9"/>
    <w:rsid w:val="00F417C3"/>
    <w:rsid w:val="00F422D1"/>
    <w:rsid w:val="00F52BC1"/>
    <w:rsid w:val="00F60C6C"/>
    <w:rsid w:val="00F8319C"/>
    <w:rsid w:val="00F9538E"/>
    <w:rsid w:val="00FA42CC"/>
    <w:rsid w:val="00FB1774"/>
    <w:rsid w:val="00FB3C2F"/>
    <w:rsid w:val="00FB7A20"/>
    <w:rsid w:val="00FC65B0"/>
    <w:rsid w:val="00FD5C22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semiHidden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gdata.rynekpierwotny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71</cp:revision>
  <cp:lastPrinted>2022-08-09T11:51:00Z</cp:lastPrinted>
  <dcterms:created xsi:type="dcterms:W3CDTF">2023-10-11T13:45:00Z</dcterms:created>
  <dcterms:modified xsi:type="dcterms:W3CDTF">2023-10-16T10:48:00Z</dcterms:modified>
</cp:coreProperties>
</file>